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76" w:rsidRPr="008F5F76" w:rsidRDefault="00F3122A" w:rsidP="008F5F76">
      <w:pPr>
        <w:rPr>
          <w:rFonts w:asciiTheme="minorHAnsi" w:hAnsiTheme="minorHAnsi" w:cs="Arial"/>
          <w:b/>
          <w:i/>
          <w:u w:val="single"/>
        </w:rPr>
      </w:pPr>
      <w:r w:rsidRPr="00982B85">
        <w:rPr>
          <w:rFonts w:asciiTheme="minorHAnsi" w:hAnsiTheme="minorHAnsi" w:cs="Arial"/>
          <w:b/>
          <w:i/>
          <w:noProof/>
          <w:u w:val="single"/>
        </w:rPr>
        <mc:AlternateContent>
          <mc:Choice Requires="wps">
            <w:drawing>
              <wp:anchor distT="0" distB="0" distL="114300" distR="114300" simplePos="0" relativeHeight="251660288" behindDoc="0" locked="0" layoutInCell="1" allowOverlap="1" wp14:anchorId="79348495" wp14:editId="6ECF397E">
                <wp:simplePos x="0" y="0"/>
                <wp:positionH relativeFrom="column">
                  <wp:posOffset>381000</wp:posOffset>
                </wp:positionH>
                <wp:positionV relativeFrom="paragraph">
                  <wp:posOffset>228600</wp:posOffset>
                </wp:positionV>
                <wp:extent cx="3943350" cy="1543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543050"/>
                        </a:xfrm>
                        <a:prstGeom prst="rect">
                          <a:avLst/>
                        </a:prstGeom>
                        <a:solidFill>
                          <a:srgbClr val="FFFFFF"/>
                        </a:solidFill>
                        <a:ln w="9525">
                          <a:solidFill>
                            <a:srgbClr val="000000"/>
                          </a:solidFill>
                          <a:miter lim="800000"/>
                          <a:headEnd/>
                          <a:tailEnd/>
                        </a:ln>
                      </wps:spPr>
                      <wps:txbx>
                        <w:txbxContent>
                          <w:p w:rsidR="00F3122A" w:rsidRDefault="00F3122A" w:rsidP="008F5F76">
                            <w:pPr>
                              <w:spacing w:line="240" w:lineRule="auto"/>
                              <w:jc w:val="center"/>
                              <w:rPr>
                                <w:rFonts w:ascii="Roboto Slab" w:hAnsi="Roboto Slab"/>
                                <w:b/>
                                <w:sz w:val="36"/>
                                <w:szCs w:val="24"/>
                              </w:rPr>
                            </w:pPr>
                          </w:p>
                          <w:p w:rsidR="008F5F76" w:rsidRPr="00F3122A" w:rsidRDefault="008F5F76" w:rsidP="008F5F76">
                            <w:pPr>
                              <w:spacing w:line="240" w:lineRule="auto"/>
                              <w:jc w:val="center"/>
                              <w:rPr>
                                <w:rFonts w:ascii="Roboto Slab" w:hAnsi="Roboto Slab"/>
                                <w:b/>
                                <w:sz w:val="40"/>
                                <w:szCs w:val="24"/>
                              </w:rPr>
                            </w:pPr>
                            <w:r w:rsidRPr="00F3122A">
                              <w:rPr>
                                <w:rFonts w:ascii="Roboto Slab" w:hAnsi="Roboto Slab"/>
                                <w:b/>
                                <w:sz w:val="36"/>
                                <w:szCs w:val="24"/>
                              </w:rPr>
                              <w:t>P</w:t>
                            </w:r>
                            <w:r w:rsidRPr="00F3122A">
                              <w:rPr>
                                <w:rFonts w:ascii="Roboto Slab" w:hAnsi="Roboto Slab"/>
                                <w:b/>
                                <w:sz w:val="40"/>
                                <w:szCs w:val="24"/>
                              </w:rPr>
                              <w:t xml:space="preserve">roperty Tax </w:t>
                            </w:r>
                            <w:r w:rsidR="00501A63" w:rsidRPr="00F3122A">
                              <w:rPr>
                                <w:rFonts w:ascii="Roboto Slab" w:hAnsi="Roboto Slab"/>
                                <w:b/>
                                <w:sz w:val="40"/>
                                <w:szCs w:val="24"/>
                              </w:rPr>
                              <w:t>Exemptions for</w:t>
                            </w:r>
                            <w:r w:rsidRPr="00F3122A">
                              <w:rPr>
                                <w:rFonts w:ascii="Roboto Slab" w:hAnsi="Roboto Slab"/>
                                <w:b/>
                                <w:sz w:val="40"/>
                                <w:szCs w:val="24"/>
                              </w:rPr>
                              <w:t xml:space="preserve"> Adults Age 65 and Older</w:t>
                            </w:r>
                          </w:p>
                          <w:p w:rsidR="008F5F76" w:rsidRDefault="008F5F76" w:rsidP="008F5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18pt;width:310.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0IwIAAEcEAAAOAAAAZHJzL2Uyb0RvYy54bWysU9tu2zAMfR+wfxD0vti5rY0Rp+jSZRjQ&#10;XYB2H8DIcixMEj1JiZ19/Sg5TbPbyzA9CKJIHR0eksub3mh2kM4rtCUfj3LOpBVYKbsr+ZfHzatr&#10;znwAW4FGK0t+lJ7frF6+WHZtISfYoK6kYwRifdG1JW9CaIss86KRBvwIW2nJWaMzEMh0u6xy0BG6&#10;0dkkz19nHbqqdSik93R7Nzj5KuHXtRThU117GZguOXELaXdp38Y9Wy2h2DloGyVONOAfWBhQlj49&#10;Q91BALZ36jcoo4RDj3UYCTQZ1rUSMuVA2YzzX7J5aKCVKRcSx7dnmfz/gxUfD58dU1XJp/kVZxYM&#10;FelR9oG9wZ5Noj5d6wsKe2gpMPR0TXVOufr2HsVXzyyuG7A7eescdo2EiviN48vs4umA4yPItvuA&#10;FX0D+4AJqK+dieKRHIzQqU7Hc20iFUGX08VsOp2TS5BvPJ9NczLiH1A8PW+dD+8kGhYPJXdU/AQP&#10;h3sfhtCnkPibR62qjdI6GW63XWvHDkCNsknrhP5TmLasK/liPpkPCvwVIk/rTxBGBep4rUzJr89B&#10;UETd3tqKaEIRQOnhTNlpexIyajeoGPptT4FR3S1WR5LU4dDZNIl0aNB956yjri65/7YHJznT7y2V&#10;ZTGezeIYJGM2v5qQ4S4920sPWEFQJQ+cDcd1SKMTOVq8pfLVKgn7zOTElbo1leY0WXEcLu0U9Tz/&#10;qx8AAAD//wMAUEsDBBQABgAIAAAAIQCH49q53wAAAAkBAAAPAAAAZHJzL2Rvd25yZXYueG1sTI/N&#10;TsMwEITvSLyDtUhcELXbIjcNcSqEBIJbKQiubrxNIvwTbDcNb89ygtPuakaz31SbyVk2Ykx98Arm&#10;MwEMfRNM71sFb68P1wWwlLU32gaPCr4xwaY+P6t0acLJv+C4yy2jEJ9KraDLeSg5T02HTqdZGNCT&#10;dgjR6UxnbLmJ+kThzvKFEJI73Xv60OkB7ztsPndHp6C4eRo/0vNy+97Ig13nq9X4+BWVuryY7m6B&#10;ZZzynxl+8QkdamLah6M3iVkFUlCVrGApaZIuizktewWL1VoAryv+v0H9AwAA//8DAFBLAQItABQA&#10;BgAIAAAAIQC2gziS/gAAAOEBAAATAAAAAAAAAAAAAAAAAAAAAABbQ29udGVudF9UeXBlc10ueG1s&#10;UEsBAi0AFAAGAAgAAAAhADj9If/WAAAAlAEAAAsAAAAAAAAAAAAAAAAALwEAAF9yZWxzLy5yZWxz&#10;UEsBAi0AFAAGAAgAAAAhAKxb/DQjAgAARwQAAA4AAAAAAAAAAAAAAAAALgIAAGRycy9lMm9Eb2Mu&#10;eG1sUEsBAi0AFAAGAAgAAAAhAIfj2rnfAAAACQEAAA8AAAAAAAAAAAAAAAAAfQQAAGRycy9kb3du&#10;cmV2LnhtbFBLBQYAAAAABAAEAPMAAACJBQAAAAA=&#10;">
                <v:textbox>
                  <w:txbxContent>
                    <w:p w:rsidR="00F3122A" w:rsidRDefault="00F3122A" w:rsidP="008F5F76">
                      <w:pPr>
                        <w:spacing w:line="240" w:lineRule="auto"/>
                        <w:jc w:val="center"/>
                        <w:rPr>
                          <w:rFonts w:ascii="Roboto Slab" w:hAnsi="Roboto Slab"/>
                          <w:b/>
                          <w:sz w:val="36"/>
                          <w:szCs w:val="24"/>
                        </w:rPr>
                      </w:pPr>
                    </w:p>
                    <w:p w:rsidR="008F5F76" w:rsidRPr="00F3122A" w:rsidRDefault="008F5F76" w:rsidP="008F5F76">
                      <w:pPr>
                        <w:spacing w:line="240" w:lineRule="auto"/>
                        <w:jc w:val="center"/>
                        <w:rPr>
                          <w:rFonts w:ascii="Roboto Slab" w:hAnsi="Roboto Slab"/>
                          <w:b/>
                          <w:sz w:val="40"/>
                          <w:szCs w:val="24"/>
                        </w:rPr>
                      </w:pPr>
                      <w:r w:rsidRPr="00F3122A">
                        <w:rPr>
                          <w:rFonts w:ascii="Roboto Slab" w:hAnsi="Roboto Slab"/>
                          <w:b/>
                          <w:sz w:val="36"/>
                          <w:szCs w:val="24"/>
                        </w:rPr>
                        <w:t>P</w:t>
                      </w:r>
                      <w:r w:rsidRPr="00F3122A">
                        <w:rPr>
                          <w:rFonts w:ascii="Roboto Slab" w:hAnsi="Roboto Slab"/>
                          <w:b/>
                          <w:sz w:val="40"/>
                          <w:szCs w:val="24"/>
                        </w:rPr>
                        <w:t xml:space="preserve">roperty Tax </w:t>
                      </w:r>
                      <w:r w:rsidR="00501A63" w:rsidRPr="00F3122A">
                        <w:rPr>
                          <w:rFonts w:ascii="Roboto Slab" w:hAnsi="Roboto Slab"/>
                          <w:b/>
                          <w:sz w:val="40"/>
                          <w:szCs w:val="24"/>
                        </w:rPr>
                        <w:t>Exemptions for</w:t>
                      </w:r>
                      <w:r w:rsidRPr="00F3122A">
                        <w:rPr>
                          <w:rFonts w:ascii="Roboto Slab" w:hAnsi="Roboto Slab"/>
                          <w:b/>
                          <w:sz w:val="40"/>
                          <w:szCs w:val="24"/>
                        </w:rPr>
                        <w:t xml:space="preserve"> Adults Age 65 and Older</w:t>
                      </w:r>
                    </w:p>
                    <w:p w:rsidR="008F5F76" w:rsidRDefault="008F5F76" w:rsidP="008F5F76"/>
                  </w:txbxContent>
                </v:textbox>
              </v:shape>
            </w:pict>
          </mc:Fallback>
        </mc:AlternateContent>
      </w:r>
      <w:r>
        <w:rPr>
          <w:rFonts w:asciiTheme="minorHAnsi" w:hAnsiTheme="minorHAnsi" w:cs="Arial"/>
          <w:b/>
          <w:i/>
          <w:noProof/>
          <w:u w:val="single"/>
        </w:rPr>
        <w:drawing>
          <wp:anchor distT="0" distB="0" distL="114300" distR="114300" simplePos="0" relativeHeight="251659264" behindDoc="0" locked="0" layoutInCell="1" allowOverlap="1" wp14:anchorId="22178CB4" wp14:editId="7C7D97C6">
            <wp:simplePos x="0" y="0"/>
            <wp:positionH relativeFrom="column">
              <wp:posOffset>5105400</wp:posOffset>
            </wp:positionH>
            <wp:positionV relativeFrom="paragraph">
              <wp:align>top</wp:align>
            </wp:positionV>
            <wp:extent cx="1885950" cy="1885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OA Clean Logo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440" cy="1883440"/>
                    </a:xfrm>
                    <a:prstGeom prst="rect">
                      <a:avLst/>
                    </a:prstGeom>
                  </pic:spPr>
                </pic:pic>
              </a:graphicData>
            </a:graphic>
            <wp14:sizeRelH relativeFrom="margin">
              <wp14:pctWidth>0</wp14:pctWidth>
            </wp14:sizeRelH>
            <wp14:sizeRelV relativeFrom="margin">
              <wp14:pctHeight>0</wp14:pctHeight>
            </wp14:sizeRelV>
          </wp:anchor>
        </w:drawing>
      </w:r>
      <w:r w:rsidR="008F5F76">
        <w:rPr>
          <w:rFonts w:asciiTheme="minorHAnsi" w:hAnsiTheme="minorHAnsi" w:cs="Arial"/>
          <w:b/>
          <w:i/>
          <w:u w:val="single"/>
        </w:rPr>
        <w:br w:type="textWrapping" w:clear="all"/>
      </w:r>
    </w:p>
    <w:p w:rsidR="00F3122A" w:rsidRPr="00F3122A" w:rsidRDefault="00F3122A" w:rsidP="00F3122A">
      <w:pPr>
        <w:pStyle w:val="ListParagraph"/>
        <w:numPr>
          <w:ilvl w:val="0"/>
          <w:numId w:val="3"/>
        </w:numPr>
        <w:spacing w:line="240" w:lineRule="auto"/>
        <w:rPr>
          <w:rFonts w:ascii="Open Sans" w:hAnsi="Open Sans" w:cs="Open Sans"/>
          <w:b/>
          <w:sz w:val="24"/>
          <w:szCs w:val="24"/>
        </w:rPr>
      </w:pPr>
      <w:r w:rsidRPr="00F3122A">
        <w:rPr>
          <w:rFonts w:ascii="Open Sans" w:hAnsi="Open Sans" w:cs="Open Sans"/>
          <w:b/>
          <w:sz w:val="24"/>
          <w:szCs w:val="24"/>
        </w:rPr>
        <w:t>An exemption relieves a taxpayer from the legal obligation to pay the full amoun</w:t>
      </w:r>
      <w:bookmarkStart w:id="0" w:name="_GoBack"/>
      <w:bookmarkEnd w:id="0"/>
      <w:r w:rsidRPr="00F3122A">
        <w:rPr>
          <w:rFonts w:ascii="Open Sans" w:hAnsi="Open Sans" w:cs="Open Sans"/>
          <w:b/>
          <w:sz w:val="24"/>
          <w:szCs w:val="24"/>
        </w:rPr>
        <w:t>t of their local property tax.</w:t>
      </w:r>
    </w:p>
    <w:p w:rsidR="00F3122A" w:rsidRPr="00F3122A" w:rsidRDefault="00F3122A" w:rsidP="00F3122A">
      <w:pPr>
        <w:pStyle w:val="ListParagraph"/>
        <w:numPr>
          <w:ilvl w:val="0"/>
          <w:numId w:val="3"/>
        </w:numPr>
        <w:spacing w:line="240" w:lineRule="auto"/>
        <w:rPr>
          <w:rFonts w:ascii="Open Sans" w:hAnsi="Open Sans" w:cs="Open Sans"/>
          <w:b/>
          <w:sz w:val="24"/>
          <w:szCs w:val="24"/>
        </w:rPr>
      </w:pPr>
      <w:r w:rsidRPr="00F3122A">
        <w:rPr>
          <w:rFonts w:ascii="Open Sans" w:hAnsi="Open Sans" w:cs="Open Sans"/>
          <w:b/>
          <w:sz w:val="24"/>
          <w:szCs w:val="24"/>
        </w:rPr>
        <w:t xml:space="preserve">In most cases, a homeowner does not repay an exemption. </w:t>
      </w:r>
    </w:p>
    <w:p w:rsidR="008F5F76" w:rsidRPr="00F3122A" w:rsidRDefault="00955C21" w:rsidP="00F3122A">
      <w:pPr>
        <w:pStyle w:val="ListParagraph"/>
        <w:numPr>
          <w:ilvl w:val="0"/>
          <w:numId w:val="3"/>
        </w:numPr>
        <w:spacing w:line="240" w:lineRule="auto"/>
        <w:rPr>
          <w:rFonts w:ascii="Open Sans" w:hAnsi="Open Sans" w:cs="Open Sans"/>
          <w:b/>
          <w:sz w:val="24"/>
          <w:szCs w:val="24"/>
        </w:rPr>
      </w:pPr>
      <w:r w:rsidRPr="00F3122A">
        <w:rPr>
          <w:rFonts w:ascii="Open Sans" w:hAnsi="Open Sans" w:cs="Open Sans"/>
          <w:b/>
          <w:sz w:val="24"/>
          <w:szCs w:val="24"/>
        </w:rPr>
        <w:t>Exemption programs typically provide between $500 and $1,000 per year in property tax relief to the adult who meets the town’s specific income and asset requirements</w:t>
      </w:r>
      <w:r w:rsidR="008F5F76" w:rsidRPr="00F3122A">
        <w:rPr>
          <w:rFonts w:ascii="Open Sans" w:hAnsi="Open Sans" w:cs="Open Sans"/>
          <w:b/>
          <w:sz w:val="24"/>
          <w:szCs w:val="24"/>
        </w:rPr>
        <w:t xml:space="preserve"> </w:t>
      </w:r>
    </w:p>
    <w:p w:rsidR="00955C21" w:rsidRPr="00F3122A" w:rsidRDefault="00955C21" w:rsidP="00955C21">
      <w:pPr>
        <w:spacing w:line="240" w:lineRule="auto"/>
        <w:rPr>
          <w:rFonts w:ascii="Open Sans" w:hAnsi="Open Sans" w:cs="Open Sans"/>
          <w:sz w:val="24"/>
          <w:szCs w:val="24"/>
        </w:rPr>
      </w:pPr>
      <w:r w:rsidRPr="00F3122A">
        <w:rPr>
          <w:rFonts w:ascii="Open Sans" w:hAnsi="Open Sans" w:cs="Open Sans"/>
          <w:sz w:val="24"/>
          <w:szCs w:val="24"/>
        </w:rPr>
        <w:t xml:space="preserve">Who is eligible for an exemption and the amount of the relief depends upon the local options enacted within each city and town. State law gives cities and towns a “local option” to decide which local tax relief programs it will offer its residents and to set local </w:t>
      </w:r>
      <w:r w:rsidR="00501A63" w:rsidRPr="00F3122A">
        <w:rPr>
          <w:rFonts w:ascii="Open Sans" w:hAnsi="Open Sans" w:cs="Open Sans"/>
          <w:sz w:val="24"/>
          <w:szCs w:val="24"/>
        </w:rPr>
        <w:t>guidelines</w:t>
      </w:r>
      <w:r w:rsidRPr="00F3122A">
        <w:rPr>
          <w:rFonts w:ascii="Open Sans" w:hAnsi="Open Sans" w:cs="Open Sans"/>
          <w:sz w:val="24"/>
          <w:szCs w:val="24"/>
        </w:rPr>
        <w:t xml:space="preserve"> for who will qualify.)  For example, m</w:t>
      </w:r>
      <w:r w:rsidR="008F5F76" w:rsidRPr="00F3122A">
        <w:rPr>
          <w:rFonts w:ascii="Open Sans" w:hAnsi="Open Sans" w:cs="Open Sans"/>
          <w:sz w:val="24"/>
          <w:szCs w:val="24"/>
        </w:rPr>
        <w:t xml:space="preserve">unicipalities may choose to give property tax exemptions to certain individuals, including older adults age 65+ or 70+,  veterans and their surviving spouses, blind persons,  surviving spouses of firefighters or policy officers, and those facing special hardship due to infirmity, poverty or active military status, and others.  </w:t>
      </w:r>
      <w:proofErr w:type="gramStart"/>
      <w:r w:rsidRPr="00F3122A">
        <w:rPr>
          <w:rFonts w:ascii="Open Sans" w:hAnsi="Open Sans" w:cs="Open Sans"/>
          <w:b/>
          <w:sz w:val="24"/>
          <w:szCs w:val="24"/>
        </w:rPr>
        <w:t>For the exact eligibility requirements of your city or town, especially due dates for applying, check with the Tax Assessor in your city or town</w:t>
      </w:r>
      <w:r w:rsidRPr="00F3122A">
        <w:rPr>
          <w:rFonts w:ascii="Open Sans" w:hAnsi="Open Sans" w:cs="Open Sans"/>
          <w:sz w:val="24"/>
          <w:szCs w:val="24"/>
        </w:rPr>
        <w:t>.</w:t>
      </w:r>
      <w:proofErr w:type="gramEnd"/>
      <w:r w:rsidRPr="00F3122A">
        <w:rPr>
          <w:rFonts w:ascii="Open Sans" w:hAnsi="Open Sans" w:cs="Open Sans"/>
          <w:sz w:val="24"/>
          <w:szCs w:val="24"/>
        </w:rPr>
        <w:t xml:space="preserve"> </w:t>
      </w:r>
    </w:p>
    <w:p w:rsidR="008F5F76" w:rsidRPr="00F3122A" w:rsidRDefault="008F5F76" w:rsidP="008F5F76">
      <w:pPr>
        <w:spacing w:line="240" w:lineRule="auto"/>
        <w:rPr>
          <w:rFonts w:ascii="Open Sans" w:hAnsi="Open Sans" w:cs="Open Sans"/>
          <w:sz w:val="24"/>
          <w:szCs w:val="24"/>
        </w:rPr>
      </w:pPr>
      <w:r w:rsidRPr="00F3122A">
        <w:rPr>
          <w:rFonts w:ascii="Open Sans" w:hAnsi="Open Sans" w:cs="Open Sans"/>
          <w:sz w:val="24"/>
          <w:szCs w:val="24"/>
        </w:rPr>
        <w:t>To get an exemption, the homeowner must file an application each year with the town Assessor where the property is located.  Generally, applications for exemptions are due on December 15</w:t>
      </w:r>
      <w:r w:rsidRPr="00F3122A">
        <w:rPr>
          <w:rFonts w:ascii="Open Sans" w:hAnsi="Open Sans" w:cs="Open Sans"/>
          <w:sz w:val="24"/>
          <w:szCs w:val="24"/>
          <w:vertAlign w:val="superscript"/>
        </w:rPr>
        <w:t>th</w:t>
      </w:r>
      <w:r w:rsidRPr="00F3122A">
        <w:rPr>
          <w:rFonts w:ascii="Open Sans" w:hAnsi="Open Sans" w:cs="Open Sans"/>
          <w:sz w:val="24"/>
          <w:szCs w:val="24"/>
        </w:rPr>
        <w:t xml:space="preserve"> each year or 3 months after the actual tax bills are mailed, whichever is later.  Check with the local Assessor to know the actual </w:t>
      </w:r>
      <w:r w:rsidR="00501A63" w:rsidRPr="00F3122A">
        <w:rPr>
          <w:rFonts w:ascii="Open Sans" w:hAnsi="Open Sans" w:cs="Open Sans"/>
          <w:sz w:val="24"/>
          <w:szCs w:val="24"/>
        </w:rPr>
        <w:t>filing</w:t>
      </w:r>
      <w:r w:rsidRPr="00F3122A">
        <w:rPr>
          <w:rFonts w:ascii="Open Sans" w:hAnsi="Open Sans" w:cs="Open Sans"/>
          <w:sz w:val="24"/>
          <w:szCs w:val="24"/>
        </w:rPr>
        <w:t xml:space="preserve"> deadline.  </w:t>
      </w:r>
      <w:r w:rsidRPr="00F3122A">
        <w:rPr>
          <w:rFonts w:ascii="Open Sans" w:hAnsi="Open Sans" w:cs="Open Sans"/>
          <w:bCs/>
          <w:iCs/>
          <w:sz w:val="24"/>
          <w:szCs w:val="24"/>
          <w:u w:val="single"/>
        </w:rPr>
        <w:t>Filing on</w:t>
      </w:r>
      <w:r w:rsidR="0068523C" w:rsidRPr="00F3122A">
        <w:rPr>
          <w:rFonts w:ascii="Open Sans" w:hAnsi="Open Sans" w:cs="Open Sans"/>
          <w:bCs/>
          <w:iCs/>
          <w:sz w:val="24"/>
          <w:szCs w:val="24"/>
          <w:u w:val="single"/>
        </w:rPr>
        <w:t xml:space="preserve"> time is required. By law, the A</w:t>
      </w:r>
      <w:r w:rsidRPr="00F3122A">
        <w:rPr>
          <w:rFonts w:ascii="Open Sans" w:hAnsi="Open Sans" w:cs="Open Sans"/>
          <w:bCs/>
          <w:iCs/>
          <w:sz w:val="24"/>
          <w:szCs w:val="24"/>
          <w:u w:val="single"/>
        </w:rPr>
        <w:t>ssessors may not waive this filing deadline, nor act on a late application, for any reason</w:t>
      </w:r>
      <w:r w:rsidRPr="00F3122A">
        <w:rPr>
          <w:rFonts w:ascii="Open Sans" w:hAnsi="Open Sans" w:cs="Open Sans"/>
          <w:bCs/>
          <w:iCs/>
          <w:sz w:val="24"/>
          <w:szCs w:val="24"/>
        </w:rPr>
        <w:t>.  Also, f</w:t>
      </w:r>
      <w:r w:rsidRPr="00F3122A">
        <w:rPr>
          <w:rFonts w:ascii="Open Sans" w:hAnsi="Open Sans" w:cs="Open Sans"/>
          <w:sz w:val="24"/>
          <w:szCs w:val="24"/>
        </w:rPr>
        <w:t xml:space="preserve">iling an application does not entitle the homeowner to delay paying their tax payment. </w:t>
      </w:r>
    </w:p>
    <w:p w:rsidR="008F5F76" w:rsidRPr="00F3122A" w:rsidRDefault="00955C21" w:rsidP="008F5F76">
      <w:pPr>
        <w:spacing w:line="240" w:lineRule="auto"/>
        <w:rPr>
          <w:rFonts w:ascii="Open Sans" w:hAnsi="Open Sans" w:cs="Open Sans"/>
          <w:b/>
          <w:sz w:val="24"/>
          <w:szCs w:val="24"/>
        </w:rPr>
      </w:pPr>
      <w:r w:rsidRPr="00F3122A">
        <w:rPr>
          <w:rFonts w:ascii="Open Sans" w:hAnsi="Open Sans" w:cs="Open Sans"/>
          <w:b/>
          <w:color w:val="000000"/>
          <w:sz w:val="24"/>
          <w:szCs w:val="24"/>
        </w:rPr>
        <w:t xml:space="preserve">You must satisfy eligibility rules relating to age, domicile, ownership, occupancy, annual income and assets. </w:t>
      </w:r>
      <w:r w:rsidR="008F5F76" w:rsidRPr="00F3122A">
        <w:rPr>
          <w:rFonts w:ascii="Open Sans" w:hAnsi="Open Sans" w:cs="Open Sans"/>
          <w:b/>
          <w:sz w:val="24"/>
          <w:szCs w:val="24"/>
        </w:rPr>
        <w:t xml:space="preserve">A few pointers: </w:t>
      </w:r>
    </w:p>
    <w:p w:rsidR="008F5F76" w:rsidRPr="00F3122A" w:rsidRDefault="008F5F76" w:rsidP="008F5F76">
      <w:pPr>
        <w:pStyle w:val="ListParagraph"/>
        <w:numPr>
          <w:ilvl w:val="0"/>
          <w:numId w:val="1"/>
        </w:numPr>
        <w:autoSpaceDE w:val="0"/>
        <w:autoSpaceDN w:val="0"/>
        <w:adjustRightInd w:val="0"/>
        <w:spacing w:after="0" w:line="240" w:lineRule="auto"/>
        <w:rPr>
          <w:rFonts w:ascii="Open Sans" w:hAnsi="Open Sans" w:cs="Open Sans"/>
          <w:color w:val="000000"/>
          <w:sz w:val="24"/>
          <w:szCs w:val="24"/>
        </w:rPr>
      </w:pPr>
      <w:r w:rsidRPr="00F3122A">
        <w:rPr>
          <w:rFonts w:ascii="Open Sans" w:hAnsi="Open Sans" w:cs="Open Sans"/>
          <w:bCs/>
          <w:color w:val="000000"/>
          <w:sz w:val="24"/>
          <w:szCs w:val="24"/>
          <w:u w:val="single"/>
        </w:rPr>
        <w:t>You must meet all eligibility requirements as of July 1 of the tax year.</w:t>
      </w:r>
      <w:r w:rsidRPr="00F3122A">
        <w:rPr>
          <w:rFonts w:ascii="Open Sans" w:hAnsi="Open Sans" w:cs="Open Sans"/>
          <w:b/>
          <w:bCs/>
          <w:color w:val="000000"/>
          <w:sz w:val="24"/>
          <w:szCs w:val="24"/>
        </w:rPr>
        <w:t xml:space="preserve"> </w:t>
      </w:r>
      <w:r w:rsidRPr="00F3122A">
        <w:rPr>
          <w:rFonts w:ascii="Open Sans" w:hAnsi="Open Sans" w:cs="Open Sans"/>
          <w:color w:val="000000"/>
          <w:sz w:val="24"/>
          <w:szCs w:val="24"/>
        </w:rPr>
        <w:t>(</w:t>
      </w:r>
      <w:r w:rsidRPr="00F3122A">
        <w:rPr>
          <w:rFonts w:ascii="Open Sans" w:hAnsi="Open Sans" w:cs="Open Sans"/>
          <w:i/>
          <w:iCs/>
          <w:color w:val="000000"/>
          <w:sz w:val="24"/>
          <w:szCs w:val="24"/>
        </w:rPr>
        <w:t>The fiscal year of cities and towns begins July 1 and ends the following June 30</w:t>
      </w:r>
      <w:r w:rsidRPr="00F3122A">
        <w:rPr>
          <w:rFonts w:ascii="Open Sans" w:hAnsi="Open Sans" w:cs="Open Sans"/>
          <w:color w:val="000000"/>
          <w:sz w:val="24"/>
          <w:szCs w:val="24"/>
        </w:rPr>
        <w:t xml:space="preserve">.) </w:t>
      </w:r>
      <w:r w:rsidRPr="00F3122A">
        <w:rPr>
          <w:rFonts w:ascii="Open Sans" w:hAnsi="Open Sans" w:cs="Open Sans"/>
          <w:bCs/>
          <w:color w:val="000000"/>
          <w:sz w:val="24"/>
          <w:szCs w:val="24"/>
        </w:rPr>
        <w:t xml:space="preserve">If you do not meet all requirements as of July 1, you cannot receive all or any portion of the exemption for that tax year. </w:t>
      </w:r>
    </w:p>
    <w:p w:rsidR="008F5F76" w:rsidRPr="00F3122A" w:rsidRDefault="008F5F76" w:rsidP="008F5F76">
      <w:pPr>
        <w:pStyle w:val="ListParagraph"/>
        <w:numPr>
          <w:ilvl w:val="0"/>
          <w:numId w:val="1"/>
        </w:numPr>
        <w:autoSpaceDE w:val="0"/>
        <w:autoSpaceDN w:val="0"/>
        <w:adjustRightInd w:val="0"/>
        <w:spacing w:after="0" w:line="240" w:lineRule="auto"/>
        <w:rPr>
          <w:rFonts w:ascii="Open Sans" w:hAnsi="Open Sans" w:cs="Open Sans"/>
          <w:color w:val="000000"/>
          <w:sz w:val="24"/>
          <w:szCs w:val="24"/>
        </w:rPr>
      </w:pPr>
      <w:r w:rsidRPr="00F3122A">
        <w:rPr>
          <w:rFonts w:ascii="Open Sans" w:hAnsi="Open Sans" w:cs="Open Sans"/>
          <w:color w:val="000000"/>
          <w:sz w:val="24"/>
          <w:szCs w:val="24"/>
          <w:u w:val="single"/>
        </w:rPr>
        <w:lastRenderedPageBreak/>
        <w:t>You must own and occupy the property as your “domicile”.</w:t>
      </w:r>
      <w:r w:rsidRPr="00F3122A">
        <w:rPr>
          <w:rFonts w:ascii="Open Sans" w:hAnsi="Open Sans" w:cs="Open Sans"/>
          <w:color w:val="000000"/>
          <w:sz w:val="24"/>
          <w:szCs w:val="24"/>
        </w:rPr>
        <w:t xml:space="preserve"> Your domicile is where your principal and legal home is located, your family, social, civic and economic life is centered and you plan to return whenever you are away. You may have more than one residence, but only one domicile. </w:t>
      </w:r>
    </w:p>
    <w:p w:rsidR="008F5F76" w:rsidRPr="00F3122A" w:rsidRDefault="008F5F76" w:rsidP="008F5F76">
      <w:pPr>
        <w:pStyle w:val="ListParagraph"/>
        <w:numPr>
          <w:ilvl w:val="0"/>
          <w:numId w:val="1"/>
        </w:numPr>
        <w:spacing w:line="240" w:lineRule="auto"/>
        <w:rPr>
          <w:rFonts w:ascii="Open Sans" w:hAnsi="Open Sans" w:cs="Open Sans"/>
          <w:sz w:val="24"/>
          <w:szCs w:val="24"/>
        </w:rPr>
      </w:pPr>
      <w:r w:rsidRPr="00F3122A">
        <w:rPr>
          <w:rFonts w:ascii="Open Sans" w:hAnsi="Open Sans" w:cs="Open Sans"/>
          <w:sz w:val="24"/>
          <w:szCs w:val="24"/>
        </w:rPr>
        <w:t xml:space="preserve">Each city and town decides what the maximum income level can be in order to be eligible – it can range widely. Ask your local </w:t>
      </w:r>
      <w:r w:rsidR="0068523C" w:rsidRPr="00F3122A">
        <w:rPr>
          <w:rFonts w:ascii="Open Sans" w:hAnsi="Open Sans" w:cs="Open Sans"/>
          <w:sz w:val="24"/>
          <w:szCs w:val="24"/>
        </w:rPr>
        <w:t>A</w:t>
      </w:r>
      <w:r w:rsidRPr="00F3122A">
        <w:rPr>
          <w:rFonts w:ascii="Open Sans" w:hAnsi="Open Sans" w:cs="Open Sans"/>
          <w:sz w:val="24"/>
          <w:szCs w:val="24"/>
        </w:rPr>
        <w:t>ssessor for the actual income levels used for their exemptions.</w:t>
      </w:r>
    </w:p>
    <w:p w:rsidR="008F5F76" w:rsidRPr="00F3122A" w:rsidRDefault="008F5F76" w:rsidP="008F5F76">
      <w:pPr>
        <w:pStyle w:val="ListParagraph"/>
        <w:numPr>
          <w:ilvl w:val="0"/>
          <w:numId w:val="1"/>
        </w:numPr>
        <w:spacing w:line="240" w:lineRule="auto"/>
        <w:rPr>
          <w:rFonts w:ascii="Open Sans" w:hAnsi="Open Sans" w:cs="Open Sans"/>
          <w:sz w:val="24"/>
          <w:szCs w:val="24"/>
        </w:rPr>
      </w:pPr>
      <w:r w:rsidRPr="00F3122A">
        <w:rPr>
          <w:rFonts w:ascii="Open Sans" w:hAnsi="Open Sans" w:cs="Open Sans"/>
          <w:color w:val="000000"/>
          <w:sz w:val="24"/>
          <w:szCs w:val="24"/>
        </w:rPr>
        <w:t>Likewise, each city and town decides upon an amount of savings and other resources (but usually not including your primary residence) you may have and still be eligible – this too can vary widely.</w:t>
      </w:r>
      <w:r w:rsidRPr="00F3122A">
        <w:rPr>
          <w:rFonts w:ascii="Open Sans" w:hAnsi="Open Sans" w:cs="Open Sans"/>
          <w:sz w:val="24"/>
          <w:szCs w:val="24"/>
        </w:rPr>
        <w:t xml:space="preserve"> Ask your local </w:t>
      </w:r>
      <w:r w:rsidR="00955C21" w:rsidRPr="00F3122A">
        <w:rPr>
          <w:rFonts w:ascii="Open Sans" w:hAnsi="Open Sans" w:cs="Open Sans"/>
          <w:sz w:val="24"/>
          <w:szCs w:val="24"/>
        </w:rPr>
        <w:t>A</w:t>
      </w:r>
      <w:r w:rsidRPr="00F3122A">
        <w:rPr>
          <w:rFonts w:ascii="Open Sans" w:hAnsi="Open Sans" w:cs="Open Sans"/>
          <w:sz w:val="24"/>
          <w:szCs w:val="24"/>
        </w:rPr>
        <w:t xml:space="preserve">ssessor for the actual resource limits levels </w:t>
      </w:r>
      <w:r w:rsidR="00955C21" w:rsidRPr="00F3122A">
        <w:rPr>
          <w:rFonts w:ascii="Open Sans" w:hAnsi="Open Sans" w:cs="Open Sans"/>
          <w:sz w:val="24"/>
          <w:szCs w:val="24"/>
        </w:rPr>
        <w:t>they permit</w:t>
      </w:r>
      <w:r w:rsidRPr="00F3122A">
        <w:rPr>
          <w:rFonts w:ascii="Open Sans" w:hAnsi="Open Sans" w:cs="Open Sans"/>
          <w:sz w:val="24"/>
          <w:szCs w:val="24"/>
        </w:rPr>
        <w:t>.</w:t>
      </w:r>
    </w:p>
    <w:p w:rsidR="005E0293" w:rsidRPr="00F3122A" w:rsidRDefault="0068523C" w:rsidP="005E0293">
      <w:pPr>
        <w:pStyle w:val="ListParagraph"/>
        <w:numPr>
          <w:ilvl w:val="0"/>
          <w:numId w:val="1"/>
        </w:numPr>
        <w:autoSpaceDE w:val="0"/>
        <w:autoSpaceDN w:val="0"/>
        <w:adjustRightInd w:val="0"/>
        <w:spacing w:after="0" w:line="240" w:lineRule="auto"/>
        <w:rPr>
          <w:rFonts w:ascii="Open Sans" w:hAnsi="Open Sans" w:cs="Open Sans"/>
          <w:color w:val="000000"/>
          <w:sz w:val="24"/>
          <w:szCs w:val="24"/>
        </w:rPr>
      </w:pPr>
      <w:r w:rsidRPr="00F3122A">
        <w:rPr>
          <w:rFonts w:ascii="Open Sans" w:hAnsi="Open Sans" w:cs="Open Sans"/>
          <w:color w:val="000000"/>
          <w:sz w:val="24"/>
          <w:szCs w:val="24"/>
          <w:u w:val="single"/>
        </w:rPr>
        <w:t xml:space="preserve">You must provide the Assessor </w:t>
      </w:r>
      <w:r w:rsidR="005E0293" w:rsidRPr="00F3122A">
        <w:rPr>
          <w:rFonts w:ascii="Open Sans" w:hAnsi="Open Sans" w:cs="Open Sans"/>
          <w:color w:val="000000"/>
          <w:sz w:val="24"/>
          <w:szCs w:val="24"/>
          <w:u w:val="single"/>
        </w:rPr>
        <w:t>with whatever information</w:t>
      </w:r>
      <w:r w:rsidR="005E0293" w:rsidRPr="00F3122A">
        <w:rPr>
          <w:rFonts w:ascii="Open Sans" w:hAnsi="Open Sans" w:cs="Open Sans"/>
          <w:color w:val="000000"/>
          <w:sz w:val="24"/>
          <w:szCs w:val="24"/>
        </w:rPr>
        <w:t xml:space="preserve"> is reasonably required to verify your eligibility. This information may include, but is not limited to: </w:t>
      </w:r>
    </w:p>
    <w:p w:rsidR="005E0293" w:rsidRPr="00F3122A" w:rsidRDefault="005E0293" w:rsidP="005E0293">
      <w:pPr>
        <w:pStyle w:val="ListParagraph"/>
        <w:numPr>
          <w:ilvl w:val="1"/>
          <w:numId w:val="1"/>
        </w:numPr>
        <w:autoSpaceDE w:val="0"/>
        <w:autoSpaceDN w:val="0"/>
        <w:adjustRightInd w:val="0"/>
        <w:spacing w:after="0" w:line="240" w:lineRule="auto"/>
        <w:rPr>
          <w:rFonts w:ascii="Open Sans" w:hAnsi="Open Sans" w:cs="Open Sans"/>
          <w:color w:val="000000"/>
          <w:sz w:val="24"/>
          <w:szCs w:val="24"/>
        </w:rPr>
      </w:pPr>
      <w:r w:rsidRPr="00F3122A">
        <w:rPr>
          <w:rFonts w:ascii="Open Sans" w:hAnsi="Open Sans" w:cs="Open Sans"/>
          <w:color w:val="000000"/>
          <w:sz w:val="24"/>
          <w:szCs w:val="24"/>
        </w:rPr>
        <w:t xml:space="preserve">Birth certificates. </w:t>
      </w:r>
    </w:p>
    <w:p w:rsidR="005E0293" w:rsidRPr="00F3122A" w:rsidRDefault="005E0293" w:rsidP="005E0293">
      <w:pPr>
        <w:pStyle w:val="ListParagraph"/>
        <w:numPr>
          <w:ilvl w:val="1"/>
          <w:numId w:val="1"/>
        </w:numPr>
        <w:autoSpaceDE w:val="0"/>
        <w:autoSpaceDN w:val="0"/>
        <w:adjustRightInd w:val="0"/>
        <w:spacing w:after="0" w:line="240" w:lineRule="auto"/>
        <w:rPr>
          <w:rFonts w:ascii="Open Sans" w:hAnsi="Open Sans" w:cs="Open Sans"/>
          <w:color w:val="000000"/>
          <w:sz w:val="24"/>
          <w:szCs w:val="24"/>
        </w:rPr>
      </w:pPr>
      <w:r w:rsidRPr="00F3122A">
        <w:rPr>
          <w:rFonts w:ascii="Open Sans" w:hAnsi="Open Sans" w:cs="Open Sans"/>
          <w:color w:val="000000"/>
          <w:sz w:val="24"/>
          <w:szCs w:val="24"/>
        </w:rPr>
        <w:t xml:space="preserve">Evidence of ownership and occupancy. </w:t>
      </w:r>
    </w:p>
    <w:p w:rsidR="005E0293" w:rsidRPr="00F3122A" w:rsidRDefault="005E0293" w:rsidP="005E0293">
      <w:pPr>
        <w:pStyle w:val="ListParagraph"/>
        <w:numPr>
          <w:ilvl w:val="1"/>
          <w:numId w:val="1"/>
        </w:numPr>
        <w:autoSpaceDE w:val="0"/>
        <w:autoSpaceDN w:val="0"/>
        <w:adjustRightInd w:val="0"/>
        <w:spacing w:after="0" w:line="240" w:lineRule="auto"/>
        <w:rPr>
          <w:rFonts w:ascii="Open Sans" w:hAnsi="Open Sans" w:cs="Open Sans"/>
          <w:color w:val="000000"/>
          <w:sz w:val="24"/>
          <w:szCs w:val="24"/>
        </w:rPr>
      </w:pPr>
      <w:r w:rsidRPr="00F3122A">
        <w:rPr>
          <w:rFonts w:ascii="Open Sans" w:hAnsi="Open Sans" w:cs="Open Sans"/>
          <w:color w:val="000000"/>
          <w:sz w:val="24"/>
          <w:szCs w:val="24"/>
        </w:rPr>
        <w:t xml:space="preserve">Income tax returns, bank and other asset account statements. </w:t>
      </w:r>
    </w:p>
    <w:p w:rsidR="00955C21" w:rsidRPr="00F3122A" w:rsidRDefault="00955C21" w:rsidP="00955C21">
      <w:pPr>
        <w:pStyle w:val="ListParagraph"/>
        <w:numPr>
          <w:ilvl w:val="0"/>
          <w:numId w:val="1"/>
        </w:numPr>
        <w:spacing w:line="240" w:lineRule="auto"/>
        <w:rPr>
          <w:rFonts w:ascii="Open Sans" w:hAnsi="Open Sans" w:cs="Open Sans"/>
          <w:color w:val="000000"/>
          <w:sz w:val="24"/>
          <w:szCs w:val="24"/>
        </w:rPr>
      </w:pPr>
      <w:r w:rsidRPr="00F3122A">
        <w:rPr>
          <w:rFonts w:ascii="Open Sans" w:hAnsi="Open Sans" w:cs="Open Sans"/>
          <w:color w:val="000000"/>
          <w:sz w:val="24"/>
          <w:szCs w:val="24"/>
        </w:rPr>
        <w:t xml:space="preserve">If you own the property with someone who </w:t>
      </w:r>
      <w:proofErr w:type="gramStart"/>
      <w:r w:rsidRPr="00F3122A">
        <w:rPr>
          <w:rFonts w:ascii="Open Sans" w:hAnsi="Open Sans" w:cs="Open Sans"/>
          <w:color w:val="000000"/>
          <w:sz w:val="24"/>
          <w:szCs w:val="24"/>
        </w:rPr>
        <w:t>is</w:t>
      </w:r>
      <w:proofErr w:type="gramEnd"/>
      <w:r w:rsidRPr="00F3122A">
        <w:rPr>
          <w:rFonts w:ascii="Open Sans" w:hAnsi="Open Sans" w:cs="Open Sans"/>
          <w:color w:val="000000"/>
          <w:sz w:val="24"/>
          <w:szCs w:val="24"/>
        </w:rPr>
        <w:t xml:space="preserve"> not your spouse (for </w:t>
      </w:r>
      <w:r w:rsidR="005E0293" w:rsidRPr="00F3122A">
        <w:rPr>
          <w:rFonts w:ascii="Open Sans" w:hAnsi="Open Sans" w:cs="Open Sans"/>
          <w:color w:val="000000"/>
          <w:sz w:val="24"/>
          <w:szCs w:val="24"/>
        </w:rPr>
        <w:t>example, your children, sibling</w:t>
      </w:r>
      <w:r w:rsidRPr="00F3122A">
        <w:rPr>
          <w:rFonts w:ascii="Open Sans" w:hAnsi="Open Sans" w:cs="Open Sans"/>
          <w:color w:val="000000"/>
          <w:sz w:val="24"/>
          <w:szCs w:val="24"/>
        </w:rPr>
        <w:t xml:space="preserve"> or other </w:t>
      </w:r>
      <w:r w:rsidR="005E0293" w:rsidRPr="00F3122A">
        <w:rPr>
          <w:rFonts w:ascii="Open Sans" w:hAnsi="Open Sans" w:cs="Open Sans"/>
          <w:color w:val="000000"/>
          <w:sz w:val="24"/>
          <w:szCs w:val="24"/>
        </w:rPr>
        <w:t>adults</w:t>
      </w:r>
      <w:r w:rsidRPr="00F3122A">
        <w:rPr>
          <w:rFonts w:ascii="Open Sans" w:hAnsi="Open Sans" w:cs="Open Sans"/>
          <w:color w:val="000000"/>
          <w:sz w:val="24"/>
          <w:szCs w:val="24"/>
        </w:rPr>
        <w:t xml:space="preserve">) then each of the other co-owners must also satisfy the annual income and asset tests. </w:t>
      </w:r>
    </w:p>
    <w:p w:rsidR="008F5F76" w:rsidRPr="00F3122A" w:rsidRDefault="008F5F76" w:rsidP="008F5F76">
      <w:pPr>
        <w:pStyle w:val="ListParagraph"/>
        <w:numPr>
          <w:ilvl w:val="0"/>
          <w:numId w:val="1"/>
        </w:numPr>
        <w:autoSpaceDE w:val="0"/>
        <w:autoSpaceDN w:val="0"/>
        <w:adjustRightInd w:val="0"/>
        <w:spacing w:after="0" w:line="240" w:lineRule="auto"/>
        <w:rPr>
          <w:rFonts w:ascii="Open Sans" w:hAnsi="Open Sans" w:cs="Open Sans"/>
          <w:color w:val="000000"/>
          <w:sz w:val="24"/>
          <w:szCs w:val="24"/>
        </w:rPr>
      </w:pPr>
      <w:r w:rsidRPr="00F3122A">
        <w:rPr>
          <w:rFonts w:ascii="Open Sans" w:hAnsi="Open Sans" w:cs="Open Sans"/>
          <w:color w:val="000000"/>
          <w:sz w:val="24"/>
          <w:szCs w:val="24"/>
        </w:rPr>
        <w:t>With limited exceptions, you may only receive one exemption under Mass General Law for each fiscal year. If yo</w:t>
      </w:r>
      <w:r w:rsidR="005E0293" w:rsidRPr="00F3122A">
        <w:rPr>
          <w:rFonts w:ascii="Open Sans" w:hAnsi="Open Sans" w:cs="Open Sans"/>
          <w:color w:val="000000"/>
          <w:sz w:val="24"/>
          <w:szCs w:val="24"/>
        </w:rPr>
        <w:t>u qualify for more than one, the Assessor</w:t>
      </w:r>
      <w:r w:rsidRPr="00F3122A">
        <w:rPr>
          <w:rFonts w:ascii="Open Sans" w:hAnsi="Open Sans" w:cs="Open Sans"/>
          <w:color w:val="000000"/>
          <w:sz w:val="24"/>
          <w:szCs w:val="24"/>
        </w:rPr>
        <w:t xml:space="preserve"> will </w:t>
      </w:r>
      <w:r w:rsidR="005E0293" w:rsidRPr="00F3122A">
        <w:rPr>
          <w:rFonts w:ascii="Open Sans" w:hAnsi="Open Sans" w:cs="Open Sans"/>
          <w:color w:val="000000"/>
          <w:sz w:val="24"/>
          <w:szCs w:val="24"/>
        </w:rPr>
        <w:t>assign</w:t>
      </w:r>
      <w:r w:rsidRPr="00F3122A">
        <w:rPr>
          <w:rFonts w:ascii="Open Sans" w:hAnsi="Open Sans" w:cs="Open Sans"/>
          <w:color w:val="000000"/>
          <w:sz w:val="24"/>
          <w:szCs w:val="24"/>
        </w:rPr>
        <w:t xml:space="preserve"> the one that provides the greatest benefit</w:t>
      </w:r>
      <w:r w:rsidR="005E0293" w:rsidRPr="00F3122A">
        <w:rPr>
          <w:rFonts w:ascii="Open Sans" w:hAnsi="Open Sans" w:cs="Open Sans"/>
          <w:color w:val="000000"/>
          <w:sz w:val="24"/>
          <w:szCs w:val="24"/>
        </w:rPr>
        <w:t xml:space="preserve"> to you</w:t>
      </w:r>
      <w:r w:rsidRPr="00F3122A">
        <w:rPr>
          <w:rFonts w:ascii="Open Sans" w:hAnsi="Open Sans" w:cs="Open Sans"/>
          <w:color w:val="000000"/>
          <w:sz w:val="24"/>
          <w:szCs w:val="24"/>
        </w:rPr>
        <w:t xml:space="preserve">.   </w:t>
      </w:r>
    </w:p>
    <w:p w:rsidR="008F5F76" w:rsidRPr="00F3122A" w:rsidRDefault="008F5F76" w:rsidP="008F5F76">
      <w:pPr>
        <w:autoSpaceDE w:val="0"/>
        <w:autoSpaceDN w:val="0"/>
        <w:adjustRightInd w:val="0"/>
        <w:spacing w:after="0" w:line="240" w:lineRule="auto"/>
        <w:rPr>
          <w:rFonts w:ascii="Open Sans" w:hAnsi="Open Sans" w:cs="Open Sans"/>
          <w:color w:val="000000"/>
          <w:sz w:val="24"/>
          <w:szCs w:val="24"/>
        </w:rPr>
      </w:pPr>
    </w:p>
    <w:p w:rsidR="008F5F76" w:rsidRPr="00F3122A" w:rsidRDefault="00955C21" w:rsidP="008F5F76">
      <w:pPr>
        <w:autoSpaceDE w:val="0"/>
        <w:autoSpaceDN w:val="0"/>
        <w:adjustRightInd w:val="0"/>
        <w:spacing w:after="0" w:line="240" w:lineRule="auto"/>
        <w:rPr>
          <w:rFonts w:ascii="Open Sans" w:hAnsi="Open Sans" w:cs="Open Sans"/>
          <w:color w:val="000000"/>
          <w:sz w:val="24"/>
          <w:szCs w:val="24"/>
        </w:rPr>
      </w:pPr>
      <w:r w:rsidRPr="00F3122A">
        <w:rPr>
          <w:rFonts w:ascii="Open Sans" w:hAnsi="Open Sans" w:cs="Open Sans"/>
          <w:color w:val="000000"/>
          <w:sz w:val="24"/>
          <w:szCs w:val="24"/>
        </w:rPr>
        <w:t xml:space="preserve">Finally, </w:t>
      </w:r>
      <w:r w:rsidR="008F5F76" w:rsidRPr="00F3122A">
        <w:rPr>
          <w:rFonts w:ascii="Open Sans" w:hAnsi="Open Sans" w:cs="Open Sans"/>
          <w:color w:val="000000"/>
          <w:sz w:val="24"/>
          <w:szCs w:val="24"/>
        </w:rPr>
        <w:t xml:space="preserve">you </w:t>
      </w:r>
      <w:r w:rsidRPr="00F3122A">
        <w:rPr>
          <w:rFonts w:ascii="Open Sans" w:hAnsi="Open Sans" w:cs="Open Sans"/>
          <w:color w:val="000000"/>
          <w:sz w:val="24"/>
          <w:szCs w:val="24"/>
        </w:rPr>
        <w:t xml:space="preserve">may </w:t>
      </w:r>
      <w:r w:rsidR="008F5F76" w:rsidRPr="00F3122A">
        <w:rPr>
          <w:rFonts w:ascii="Open Sans" w:hAnsi="Open Sans" w:cs="Open Sans"/>
          <w:color w:val="000000"/>
          <w:sz w:val="24"/>
          <w:szCs w:val="24"/>
        </w:rPr>
        <w:t xml:space="preserve">receive an exemption and </w:t>
      </w:r>
      <w:r w:rsidRPr="00F3122A">
        <w:rPr>
          <w:rFonts w:ascii="Open Sans" w:hAnsi="Open Sans" w:cs="Open Sans"/>
          <w:color w:val="000000"/>
          <w:sz w:val="24"/>
          <w:szCs w:val="24"/>
        </w:rPr>
        <w:t>then</w:t>
      </w:r>
      <w:r w:rsidR="008F5F76" w:rsidRPr="00F3122A">
        <w:rPr>
          <w:rFonts w:ascii="Open Sans" w:hAnsi="Open Sans" w:cs="Open Sans"/>
          <w:color w:val="000000"/>
          <w:sz w:val="24"/>
          <w:szCs w:val="24"/>
        </w:rPr>
        <w:t xml:space="preserve"> choose to defer all or a part of the balance of the (reduced) property taxes for that same year. </w:t>
      </w:r>
      <w:r w:rsidRPr="00F3122A">
        <w:rPr>
          <w:rFonts w:ascii="Open Sans" w:hAnsi="Open Sans" w:cs="Open Sans"/>
          <w:color w:val="000000"/>
          <w:sz w:val="24"/>
          <w:szCs w:val="24"/>
        </w:rPr>
        <w:t xml:space="preserve"> Discuss this with the Assessor as well.</w:t>
      </w:r>
    </w:p>
    <w:p w:rsidR="005E0293" w:rsidRPr="00F3122A" w:rsidRDefault="005E0293" w:rsidP="008F5F76">
      <w:pPr>
        <w:autoSpaceDE w:val="0"/>
        <w:autoSpaceDN w:val="0"/>
        <w:adjustRightInd w:val="0"/>
        <w:spacing w:after="0" w:line="240" w:lineRule="auto"/>
        <w:rPr>
          <w:rFonts w:ascii="Open Sans" w:hAnsi="Open Sans" w:cs="Open Sans"/>
          <w:color w:val="000000"/>
          <w:sz w:val="24"/>
          <w:szCs w:val="24"/>
        </w:rPr>
      </w:pPr>
    </w:p>
    <w:p w:rsidR="005E0293" w:rsidRPr="00F3122A" w:rsidRDefault="005E0293" w:rsidP="008F5F76">
      <w:pPr>
        <w:autoSpaceDE w:val="0"/>
        <w:autoSpaceDN w:val="0"/>
        <w:adjustRightInd w:val="0"/>
        <w:spacing w:after="0" w:line="240" w:lineRule="auto"/>
        <w:rPr>
          <w:rFonts w:ascii="Open Sans" w:hAnsi="Open Sans" w:cs="Open Sans"/>
          <w:b/>
          <w:i/>
          <w:color w:val="000000"/>
          <w:sz w:val="24"/>
          <w:szCs w:val="24"/>
        </w:rPr>
      </w:pPr>
      <w:r w:rsidRPr="00F3122A">
        <w:rPr>
          <w:rFonts w:ascii="Open Sans" w:hAnsi="Open Sans" w:cs="Open Sans"/>
          <w:b/>
          <w:color w:val="000000"/>
          <w:sz w:val="24"/>
          <w:szCs w:val="24"/>
        </w:rPr>
        <w:t xml:space="preserve">The local </w:t>
      </w:r>
      <w:r w:rsidR="0068523C" w:rsidRPr="00F3122A">
        <w:rPr>
          <w:rFonts w:ascii="Open Sans" w:hAnsi="Open Sans" w:cs="Open Sans"/>
          <w:b/>
          <w:color w:val="000000"/>
          <w:sz w:val="24"/>
          <w:szCs w:val="24"/>
        </w:rPr>
        <w:t>Assessor</w:t>
      </w:r>
      <w:r w:rsidRPr="00F3122A">
        <w:rPr>
          <w:rFonts w:ascii="Open Sans" w:hAnsi="Open Sans" w:cs="Open Sans"/>
          <w:b/>
          <w:color w:val="000000"/>
          <w:sz w:val="24"/>
          <w:szCs w:val="24"/>
        </w:rPr>
        <w:t xml:space="preserve"> is located at:   </w:t>
      </w:r>
      <w:r w:rsidRPr="00F3122A">
        <w:rPr>
          <w:rFonts w:ascii="Open Sans" w:hAnsi="Open Sans" w:cs="Open Sans"/>
          <w:b/>
          <w:i/>
          <w:color w:val="000000"/>
          <w:sz w:val="24"/>
          <w:szCs w:val="24"/>
        </w:rPr>
        <w:t xml:space="preserve">Insert Office Address.  </w:t>
      </w:r>
    </w:p>
    <w:p w:rsidR="005E0293" w:rsidRPr="00F3122A" w:rsidRDefault="005E0293" w:rsidP="008F5F76">
      <w:pPr>
        <w:autoSpaceDE w:val="0"/>
        <w:autoSpaceDN w:val="0"/>
        <w:adjustRightInd w:val="0"/>
        <w:spacing w:after="0" w:line="240" w:lineRule="auto"/>
        <w:rPr>
          <w:rFonts w:ascii="Open Sans" w:hAnsi="Open Sans" w:cs="Open Sans"/>
          <w:b/>
          <w:color w:val="000000"/>
          <w:sz w:val="24"/>
          <w:szCs w:val="24"/>
        </w:rPr>
      </w:pPr>
      <w:r w:rsidRPr="00F3122A">
        <w:rPr>
          <w:rFonts w:ascii="Open Sans" w:hAnsi="Open Sans" w:cs="Open Sans"/>
          <w:b/>
          <w:color w:val="000000"/>
          <w:sz w:val="24"/>
          <w:szCs w:val="24"/>
        </w:rPr>
        <w:t xml:space="preserve">You may call the Assessor’s office at:  </w:t>
      </w:r>
      <w:r w:rsidRPr="00F3122A">
        <w:rPr>
          <w:rFonts w:ascii="Open Sans" w:hAnsi="Open Sans" w:cs="Open Sans"/>
          <w:b/>
          <w:i/>
          <w:color w:val="000000"/>
          <w:sz w:val="24"/>
          <w:szCs w:val="24"/>
        </w:rPr>
        <w:t xml:space="preserve">Insert phone number and hours. </w:t>
      </w:r>
      <w:r w:rsidRPr="00F3122A">
        <w:rPr>
          <w:rFonts w:ascii="Open Sans" w:hAnsi="Open Sans" w:cs="Open Sans"/>
          <w:b/>
          <w:color w:val="000000"/>
          <w:sz w:val="24"/>
          <w:szCs w:val="24"/>
        </w:rPr>
        <w:t xml:space="preserve">               </w:t>
      </w:r>
    </w:p>
    <w:p w:rsidR="00955C21" w:rsidRPr="00F3122A" w:rsidRDefault="00955C21" w:rsidP="008F5F76">
      <w:pPr>
        <w:spacing w:line="240" w:lineRule="auto"/>
        <w:rPr>
          <w:rFonts w:ascii="Open Sans" w:hAnsi="Open Sans" w:cs="Open Sans"/>
          <w:bCs/>
          <w:i/>
          <w:color w:val="000000"/>
          <w:sz w:val="24"/>
          <w:szCs w:val="24"/>
        </w:rPr>
      </w:pPr>
    </w:p>
    <w:p w:rsidR="008F5F76" w:rsidRPr="00F3122A" w:rsidRDefault="008F5F76" w:rsidP="00F3122A">
      <w:pPr>
        <w:spacing w:line="240" w:lineRule="auto"/>
        <w:ind w:left="720"/>
        <w:rPr>
          <w:rFonts w:ascii="Open Sans" w:hAnsi="Open Sans" w:cs="Open Sans"/>
          <w:i/>
          <w:sz w:val="24"/>
          <w:szCs w:val="24"/>
        </w:rPr>
      </w:pPr>
      <w:r w:rsidRPr="00F3122A">
        <w:rPr>
          <w:rFonts w:ascii="Open Sans" w:hAnsi="Open Sans" w:cs="Open Sans"/>
          <w:bCs/>
          <w:i/>
          <w:color w:val="000000"/>
          <w:sz w:val="24"/>
          <w:szCs w:val="24"/>
        </w:rPr>
        <w:t xml:space="preserve">This fact sheet is not designed to address all questions or issues. To find out about the specific eligibility and application requirements in your city or town, you must contact your local </w:t>
      </w:r>
      <w:r w:rsidR="00955C21" w:rsidRPr="00F3122A">
        <w:rPr>
          <w:rFonts w:ascii="Open Sans" w:hAnsi="Open Sans" w:cs="Open Sans"/>
          <w:bCs/>
          <w:i/>
          <w:color w:val="000000"/>
          <w:sz w:val="24"/>
          <w:szCs w:val="24"/>
        </w:rPr>
        <w:t>B</w:t>
      </w:r>
      <w:r w:rsidRPr="00F3122A">
        <w:rPr>
          <w:rFonts w:ascii="Open Sans" w:hAnsi="Open Sans" w:cs="Open Sans"/>
          <w:bCs/>
          <w:i/>
          <w:color w:val="000000"/>
          <w:sz w:val="24"/>
          <w:szCs w:val="24"/>
        </w:rPr>
        <w:t xml:space="preserve">oard of </w:t>
      </w:r>
      <w:r w:rsidR="00955C21" w:rsidRPr="00F3122A">
        <w:rPr>
          <w:rFonts w:ascii="Open Sans" w:hAnsi="Open Sans" w:cs="Open Sans"/>
          <w:bCs/>
          <w:i/>
          <w:color w:val="000000"/>
          <w:sz w:val="24"/>
          <w:szCs w:val="24"/>
        </w:rPr>
        <w:t>A</w:t>
      </w:r>
      <w:r w:rsidRPr="00F3122A">
        <w:rPr>
          <w:rFonts w:ascii="Open Sans" w:hAnsi="Open Sans" w:cs="Open Sans"/>
          <w:bCs/>
          <w:i/>
          <w:color w:val="000000"/>
          <w:sz w:val="24"/>
          <w:szCs w:val="24"/>
        </w:rPr>
        <w:t>ssessors</w:t>
      </w:r>
      <w:r w:rsidRPr="00F3122A">
        <w:rPr>
          <w:rFonts w:ascii="Open Sans" w:hAnsi="Open Sans" w:cs="Open Sans"/>
          <w:i/>
          <w:color w:val="000000"/>
          <w:sz w:val="24"/>
          <w:szCs w:val="24"/>
        </w:rPr>
        <w:t xml:space="preserve">. Under state law, only your </w:t>
      </w:r>
      <w:r w:rsidR="00955C21" w:rsidRPr="00F3122A">
        <w:rPr>
          <w:rFonts w:ascii="Open Sans" w:hAnsi="Open Sans" w:cs="Open Sans"/>
          <w:i/>
          <w:color w:val="000000"/>
          <w:sz w:val="24"/>
          <w:szCs w:val="24"/>
        </w:rPr>
        <w:t>B</w:t>
      </w:r>
      <w:r w:rsidRPr="00F3122A">
        <w:rPr>
          <w:rFonts w:ascii="Open Sans" w:hAnsi="Open Sans" w:cs="Open Sans"/>
          <w:i/>
          <w:color w:val="000000"/>
          <w:sz w:val="24"/>
          <w:szCs w:val="24"/>
        </w:rPr>
        <w:t xml:space="preserve">oard of </w:t>
      </w:r>
      <w:r w:rsidR="00955C21" w:rsidRPr="00F3122A">
        <w:rPr>
          <w:rFonts w:ascii="Open Sans" w:hAnsi="Open Sans" w:cs="Open Sans"/>
          <w:i/>
          <w:color w:val="000000"/>
          <w:sz w:val="24"/>
          <w:szCs w:val="24"/>
        </w:rPr>
        <w:t>A</w:t>
      </w:r>
      <w:r w:rsidRPr="00F3122A">
        <w:rPr>
          <w:rFonts w:ascii="Open Sans" w:hAnsi="Open Sans" w:cs="Open Sans"/>
          <w:i/>
          <w:color w:val="000000"/>
          <w:sz w:val="24"/>
          <w:szCs w:val="24"/>
        </w:rPr>
        <w:t>ssessors, as the local tax administrator, can decide whether you qualify for an exemption. If you disagree with its decision, you may appeal.</w:t>
      </w:r>
    </w:p>
    <w:p w:rsidR="008F5F76" w:rsidRPr="00F3122A" w:rsidRDefault="008F5F76" w:rsidP="008F5F76">
      <w:pPr>
        <w:pStyle w:val="Default"/>
        <w:rPr>
          <w:rFonts w:ascii="Open Sans" w:hAnsi="Open Sans" w:cs="Open Sans"/>
        </w:rPr>
      </w:pPr>
    </w:p>
    <w:p w:rsidR="008F5F76" w:rsidRPr="00F3122A" w:rsidRDefault="008F5F76" w:rsidP="008F5F76">
      <w:pPr>
        <w:pStyle w:val="Default"/>
        <w:rPr>
          <w:rFonts w:ascii="Open Sans" w:hAnsi="Open Sans" w:cs="Open Sans"/>
          <w:i/>
        </w:rPr>
      </w:pPr>
      <w:r w:rsidRPr="00F3122A">
        <w:rPr>
          <w:rFonts w:ascii="Open Sans" w:hAnsi="Open Sans" w:cs="Open Sans"/>
          <w:i/>
        </w:rPr>
        <w:t xml:space="preserve">Source: MA Department of Revenue, Division of Local Services, </w:t>
      </w:r>
      <w:proofErr w:type="gramStart"/>
      <w:r w:rsidRPr="00F3122A">
        <w:rPr>
          <w:rFonts w:ascii="Open Sans" w:hAnsi="Open Sans" w:cs="Open Sans"/>
          <w:i/>
        </w:rPr>
        <w:t>fact</w:t>
      </w:r>
      <w:proofErr w:type="gramEnd"/>
      <w:r w:rsidRPr="00F3122A">
        <w:rPr>
          <w:rFonts w:ascii="Open Sans" w:hAnsi="Open Sans" w:cs="Open Sans"/>
          <w:i/>
        </w:rPr>
        <w:t xml:space="preserve"> sheet on </w:t>
      </w:r>
      <w:r w:rsidR="00955C21" w:rsidRPr="00F3122A">
        <w:rPr>
          <w:rFonts w:ascii="Open Sans" w:hAnsi="Open Sans" w:cs="Open Sans"/>
          <w:i/>
        </w:rPr>
        <w:t>property</w:t>
      </w:r>
      <w:r w:rsidRPr="00F3122A">
        <w:rPr>
          <w:rFonts w:ascii="Open Sans" w:hAnsi="Open Sans" w:cs="Open Sans"/>
          <w:i/>
        </w:rPr>
        <w:t xml:space="preserve"> tax exemptions at: </w:t>
      </w:r>
      <w:hyperlink r:id="rId9" w:history="1">
        <w:r w:rsidRPr="00F3122A">
          <w:rPr>
            <w:rStyle w:val="Hyperlink"/>
            <w:rFonts w:ascii="Open Sans" w:hAnsi="Open Sans" w:cs="Open Sans"/>
            <w:i/>
            <w:sz w:val="24"/>
            <w:szCs w:val="24"/>
          </w:rPr>
          <w:t>http://www.mass.gov/dor/docs/dls/publ/brochures/elderly.pdf</w:t>
        </w:r>
      </w:hyperlink>
      <w:r w:rsidRPr="00F3122A">
        <w:rPr>
          <w:rFonts w:ascii="Open Sans" w:hAnsi="Open Sans" w:cs="Open Sans"/>
          <w:i/>
        </w:rPr>
        <w:t xml:space="preserve"> .  </w:t>
      </w:r>
    </w:p>
    <w:p w:rsidR="00053D6B" w:rsidRDefault="00053D6B">
      <w:pPr>
        <w:rPr>
          <w:rFonts w:ascii="Open Sans" w:hAnsi="Open Sans" w:cs="Open Sans"/>
        </w:rPr>
      </w:pPr>
    </w:p>
    <w:p w:rsidR="00F3122A" w:rsidRPr="00F3122A" w:rsidRDefault="00F3122A">
      <w:pPr>
        <w:rPr>
          <w:rFonts w:ascii="Open Sans" w:hAnsi="Open Sans" w:cs="Open Sans"/>
          <w:sz w:val="24"/>
        </w:rPr>
      </w:pPr>
      <w:r w:rsidRPr="00F3122A">
        <w:rPr>
          <w:rFonts w:ascii="Open Sans" w:hAnsi="Open Sans" w:cs="Open Sans"/>
          <w:sz w:val="24"/>
        </w:rPr>
        <w:t>(As of November 2017)</w:t>
      </w:r>
    </w:p>
    <w:sectPr w:rsidR="00F3122A" w:rsidRPr="00F3122A" w:rsidSect="00955C21">
      <w:footerReference w:type="default" r:id="rId10"/>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FA" w:rsidRDefault="00F375FA" w:rsidP="005E0293">
      <w:pPr>
        <w:spacing w:after="0" w:line="240" w:lineRule="auto"/>
      </w:pPr>
      <w:r>
        <w:separator/>
      </w:r>
    </w:p>
  </w:endnote>
  <w:endnote w:type="continuationSeparator" w:id="0">
    <w:p w:rsidR="00F375FA" w:rsidRDefault="00F375FA" w:rsidP="005E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Slab">
    <w:panose1 w:val="00000000000000000000"/>
    <w:charset w:val="00"/>
    <w:family w:val="auto"/>
    <w:pitch w:val="variable"/>
    <w:sig w:usb0="E00002FF" w:usb1="5000205B" w:usb2="00000020"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93" w:rsidRDefault="005E0293" w:rsidP="005E0293">
    <w:pPr>
      <w:pStyle w:val="Footer"/>
      <w:pBdr>
        <w:top w:val="single" w:sz="4" w:space="1" w:color="auto"/>
      </w:pBdr>
      <w:ind w:left="-450"/>
      <w:jc w:val="center"/>
      <w:rPr>
        <w:rFonts w:asciiTheme="minorHAnsi" w:hAnsiTheme="minorHAnsi"/>
        <w:i/>
        <w:sz w:val="22"/>
      </w:rPr>
    </w:pPr>
    <w:r>
      <w:rPr>
        <w:rFonts w:asciiTheme="minorHAnsi" w:hAnsiTheme="minorHAnsi"/>
        <w:i/>
        <w:sz w:val="22"/>
      </w:rPr>
      <w:t xml:space="preserve">Part of MCOA’s Property Tax Relief Outreach Tools for Local COAs – go to </w:t>
    </w:r>
    <w:hyperlink r:id="rId1" w:history="1">
      <w:r>
        <w:rPr>
          <w:rStyle w:val="Hyperlink"/>
          <w:rFonts w:asciiTheme="minorHAnsi" w:hAnsiTheme="minorHAnsi"/>
          <w:i/>
          <w:sz w:val="22"/>
        </w:rPr>
        <w:t>www.mcoaonline.com</w:t>
      </w:r>
    </w:hyperlink>
    <w:r>
      <w:rPr>
        <w:rFonts w:asciiTheme="minorHAnsi" w:hAnsiTheme="minorHAnsi"/>
        <w:i/>
        <w:sz w:val="22"/>
      </w:rPr>
      <w:t xml:space="preserve"> for more.</w:t>
    </w:r>
  </w:p>
  <w:p w:rsidR="005E0293" w:rsidRDefault="005E0293">
    <w:pPr>
      <w:pStyle w:val="Footer"/>
    </w:pPr>
  </w:p>
  <w:p w:rsidR="005E0293" w:rsidRDefault="005E0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FA" w:rsidRDefault="00F375FA" w:rsidP="005E0293">
      <w:pPr>
        <w:spacing w:after="0" w:line="240" w:lineRule="auto"/>
      </w:pPr>
      <w:r>
        <w:separator/>
      </w:r>
    </w:p>
  </w:footnote>
  <w:footnote w:type="continuationSeparator" w:id="0">
    <w:p w:rsidR="00F375FA" w:rsidRDefault="00F375FA" w:rsidP="005E0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F0D4A"/>
    <w:multiLevelType w:val="hybridMultilevel"/>
    <w:tmpl w:val="2E02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D04D69"/>
    <w:multiLevelType w:val="hybridMultilevel"/>
    <w:tmpl w:val="0EB82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94B51"/>
    <w:multiLevelType w:val="hybridMultilevel"/>
    <w:tmpl w:val="4D14878E"/>
    <w:lvl w:ilvl="0" w:tplc="8E62B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76"/>
    <w:rsid w:val="00053D6B"/>
    <w:rsid w:val="00360E37"/>
    <w:rsid w:val="00501A63"/>
    <w:rsid w:val="00525929"/>
    <w:rsid w:val="005E0293"/>
    <w:rsid w:val="0068523C"/>
    <w:rsid w:val="008C34F1"/>
    <w:rsid w:val="008F5F76"/>
    <w:rsid w:val="00955C21"/>
    <w:rsid w:val="00B14AD3"/>
    <w:rsid w:val="00E657F1"/>
    <w:rsid w:val="00F3122A"/>
    <w:rsid w:val="00F375FA"/>
    <w:rsid w:val="00F7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29"/>
    <w:pPr>
      <w:ind w:left="720"/>
      <w:contextualSpacing/>
    </w:pPr>
  </w:style>
  <w:style w:type="character" w:styleId="Hyperlink">
    <w:name w:val="Hyperlink"/>
    <w:basedOn w:val="DefaultParagraphFont"/>
    <w:uiPriority w:val="99"/>
    <w:unhideWhenUsed/>
    <w:rsid w:val="008F5F76"/>
    <w:rPr>
      <w:rFonts w:ascii="Verdana" w:hAnsi="Verdana" w:hint="default"/>
      <w:color w:val="990000"/>
      <w:sz w:val="18"/>
      <w:szCs w:val="18"/>
      <w:u w:val="single"/>
    </w:rPr>
  </w:style>
  <w:style w:type="paragraph" w:customStyle="1" w:styleId="Default">
    <w:name w:val="Default"/>
    <w:rsid w:val="008F5F76"/>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8F5F76"/>
    <w:rPr>
      <w:color w:val="800080" w:themeColor="followedHyperlink"/>
      <w:u w:val="single"/>
    </w:rPr>
  </w:style>
  <w:style w:type="paragraph" w:styleId="Header">
    <w:name w:val="header"/>
    <w:basedOn w:val="Normal"/>
    <w:link w:val="HeaderChar"/>
    <w:uiPriority w:val="99"/>
    <w:unhideWhenUsed/>
    <w:rsid w:val="005E0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293"/>
  </w:style>
  <w:style w:type="paragraph" w:styleId="Footer">
    <w:name w:val="footer"/>
    <w:basedOn w:val="Normal"/>
    <w:link w:val="FooterChar"/>
    <w:uiPriority w:val="99"/>
    <w:unhideWhenUsed/>
    <w:rsid w:val="005E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293"/>
  </w:style>
  <w:style w:type="paragraph" w:styleId="BalloonText">
    <w:name w:val="Balloon Text"/>
    <w:basedOn w:val="Normal"/>
    <w:link w:val="BalloonTextChar"/>
    <w:uiPriority w:val="99"/>
    <w:semiHidden/>
    <w:unhideWhenUsed/>
    <w:rsid w:val="005E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29"/>
    <w:pPr>
      <w:ind w:left="720"/>
      <w:contextualSpacing/>
    </w:pPr>
  </w:style>
  <w:style w:type="character" w:styleId="Hyperlink">
    <w:name w:val="Hyperlink"/>
    <w:basedOn w:val="DefaultParagraphFont"/>
    <w:uiPriority w:val="99"/>
    <w:unhideWhenUsed/>
    <w:rsid w:val="008F5F76"/>
    <w:rPr>
      <w:rFonts w:ascii="Verdana" w:hAnsi="Verdana" w:hint="default"/>
      <w:color w:val="990000"/>
      <w:sz w:val="18"/>
      <w:szCs w:val="18"/>
      <w:u w:val="single"/>
    </w:rPr>
  </w:style>
  <w:style w:type="paragraph" w:customStyle="1" w:styleId="Default">
    <w:name w:val="Default"/>
    <w:rsid w:val="008F5F76"/>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8F5F76"/>
    <w:rPr>
      <w:color w:val="800080" w:themeColor="followedHyperlink"/>
      <w:u w:val="single"/>
    </w:rPr>
  </w:style>
  <w:style w:type="paragraph" w:styleId="Header">
    <w:name w:val="header"/>
    <w:basedOn w:val="Normal"/>
    <w:link w:val="HeaderChar"/>
    <w:uiPriority w:val="99"/>
    <w:unhideWhenUsed/>
    <w:rsid w:val="005E0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293"/>
  </w:style>
  <w:style w:type="paragraph" w:styleId="Footer">
    <w:name w:val="footer"/>
    <w:basedOn w:val="Normal"/>
    <w:link w:val="FooterChar"/>
    <w:uiPriority w:val="99"/>
    <w:unhideWhenUsed/>
    <w:rsid w:val="005E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293"/>
  </w:style>
  <w:style w:type="paragraph" w:styleId="BalloonText">
    <w:name w:val="Balloon Text"/>
    <w:basedOn w:val="Normal"/>
    <w:link w:val="BalloonTextChar"/>
    <w:uiPriority w:val="99"/>
    <w:semiHidden/>
    <w:unhideWhenUsed/>
    <w:rsid w:val="005E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dor/docs/dls/publ/brochures/elderly.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coa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dc:creator>
  <cp:lastModifiedBy>Mary Kay</cp:lastModifiedBy>
  <cp:revision>2</cp:revision>
  <cp:lastPrinted>2016-10-16T15:42:00Z</cp:lastPrinted>
  <dcterms:created xsi:type="dcterms:W3CDTF">2017-11-13T18:41:00Z</dcterms:created>
  <dcterms:modified xsi:type="dcterms:W3CDTF">2017-11-13T18:41:00Z</dcterms:modified>
</cp:coreProperties>
</file>